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ENRIQUE WOLF MARULANDA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SOMOS </w:t>
      </w:r>
      <w:r w:rsidDel="00000000" w:rsidR="00000000" w:rsidRPr="00000000">
        <w:rPr>
          <w:rFonts w:ascii="Arial" w:cs="Arial" w:eastAsia="Arial" w:hAnsi="Arial"/>
          <w:sz w:val="22"/>
          <w:szCs w:val="22"/>
          <w:rtl w:val="0"/>
        </w:rPr>
        <w:t xml:space="preserve">BOGOTÁ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USME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63 Sur Troncal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Caracas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3173637642</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2021ER36628.</w:t>
      </w:r>
    </w:p>
    <w:p w:rsidR="00000000" w:rsidDel="00000000" w:rsidP="00000000" w:rsidRDefault="00000000" w:rsidRPr="00000000" w14:paraId="00000012">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SOMOS </w:t>
            </w:r>
            <w:r w:rsidDel="00000000" w:rsidR="00000000" w:rsidRPr="00000000">
              <w:rPr>
                <w:rFonts w:ascii="Arial" w:cs="Arial" w:eastAsia="Arial" w:hAnsi="Arial"/>
                <w:sz w:val="22"/>
                <w:szCs w:val="22"/>
                <w:rtl w:val="0"/>
              </w:rPr>
              <w:t xml:space="preserve">BOGOTÁ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USME S.A.S, identificada con NIT 901229878-2 y cuya sede inscrita fue la ubicada en Calle 63 Sur Troncal</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Caracas, durante la vigencia 2021 participó en el proyecto de Sostenibilidad energética.</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6"/>
              <w:gridCol w:w="2803"/>
              <w:gridCol w:w="2779"/>
              <w:tblGridChange w:id="0">
                <w:tblGrid>
                  <w:gridCol w:w="2686"/>
                  <w:gridCol w:w="2803"/>
                  <w:gridCol w:w="277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SOMOS </w:t>
                  </w:r>
                  <w:r w:rsidDel="00000000" w:rsidR="00000000" w:rsidRPr="00000000">
                    <w:rPr>
                      <w:rFonts w:ascii="Arial" w:cs="Arial" w:eastAsia="Arial" w:hAnsi="Arial"/>
                      <w:sz w:val="22"/>
                      <w:szCs w:val="22"/>
                      <w:rtl w:val="0"/>
                    </w:rPr>
                    <w:t xml:space="preserve">BOGOTÁ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USME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23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Maria Alejandra Moreno,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proyecto en la medida de los posible.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medición interna se hace necesaria  para mejorar la gestión energética de la organización. Sin embargo, siempre debe ir acompañada de las oportunidades  de mejora que se identifiquen. Se recomienda optimizar las herramientas de caracterización energética con la medición disgregada en la que se  avanza, con el fin de fortalecer  la cuantificación de beneficios (energéticos, económicos y ambientales).</w:t>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21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instalación del contador para el área de estación de servicio; se cuenta con indicadores formulados, pero aún no se tienen resultados; finalmente, se evidencia el cumplimiento de actividades asociadas al cronograma del primer entregable.</w:t>
                  </w:r>
                </w:p>
                <w:p w:rsidR="00000000" w:rsidDel="00000000" w:rsidP="00000000" w:rsidRDefault="00000000" w:rsidRPr="00000000" w14:paraId="0000009A">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93</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Buenas prácticas operacionales en medición de consumos de energía eléctrica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Instalación de medidor interno, que permite mejorar el seguimiento  de los consumos de energía eléctrica</w:t>
                  </w:r>
                </w:p>
              </w:tc>
            </w:tr>
          </w:tb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9"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y evaluación técnico financiera  de un proyecto de buenas prácticas operacionales en el monitoreo de consumos.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D">
      <w:pPr>
        <w:rPr/>
      </w:pPr>
      <w:r w:rsidDel="00000000" w:rsidR="00000000" w:rsidRPr="00000000">
        <w:rPr>
          <w:rtl w:val="0"/>
        </w:rPr>
      </w:r>
    </w:p>
    <w:sectPr>
      <w:pgSz w:h="16838" w:w="11906" w:orient="portrait"/>
      <w:pgMar w:bottom="1417" w:top="1276"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tZlNrrmGmI/IK+ggUzQN5F688w==">AMUW2mU2BirD7ppbb2vFMvwjiE0aHD9SYHMzZO5iPCW0fiSP6vNUPXD25DIsu0dZLLszb0p6w4KBw/FltweCuz2PZCtRxOmqRudCBJvr+CKvM0v02qBlrQQ=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2021-11-26T14:26:00Z</dcterms:created>
  <dc:creator>Jorge Manrique</dc:creator>
</cp:coreProperties>
</file>